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8"/>
          <w:szCs w:val="24"/>
        </w:rPr>
      </w:pPr>
      <w:r w:rsidRPr="008B7DA2">
        <w:rPr>
          <w:rFonts w:ascii="Proxima Nova Rg" w:hAnsi="Proxima Nova Rg" w:cs="TimesNewRomanPS-BoldMT"/>
          <w:b/>
          <w:bCs/>
          <w:sz w:val="28"/>
          <w:szCs w:val="24"/>
        </w:rPr>
        <w:t>Приказ</w:t>
      </w: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8"/>
          <w:szCs w:val="24"/>
        </w:rPr>
      </w:pPr>
    </w:p>
    <w:p w:rsidR="008B7DA2" w:rsidRDefault="008B7DA2" w:rsidP="008B7DA2">
      <w:pPr>
        <w:autoSpaceDE w:val="0"/>
        <w:autoSpaceDN w:val="0"/>
        <w:adjustRightInd w:val="0"/>
        <w:spacing w:after="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Default="008B7DA2" w:rsidP="008B7DA2">
      <w:pPr>
        <w:autoSpaceDE w:val="0"/>
        <w:autoSpaceDN w:val="0"/>
        <w:adjustRightInd w:val="0"/>
        <w:spacing w:after="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 xml:space="preserve">«24» ноября 2009 г. </w:t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 xml:space="preserve">№ </w:t>
      </w:r>
      <w:r w:rsidRPr="008B7DA2">
        <w:rPr>
          <w:rFonts w:ascii="Proxima Nova Rg" w:hAnsi="Proxima Nova Rg" w:cs="Times New Roman"/>
          <w:b/>
          <w:bCs/>
          <w:sz w:val="24"/>
          <w:szCs w:val="24"/>
        </w:rPr>
        <w:t>9-</w:t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>пл</w:t>
      </w: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jc w:val="center"/>
        <w:rPr>
          <w:rFonts w:ascii="Proxima Nova Rg" w:hAnsi="Proxima Nova Rg" w:cs="TimesNewRomanPS-BoldMT"/>
          <w:b/>
          <w:bCs/>
          <w:sz w:val="28"/>
          <w:szCs w:val="24"/>
        </w:rPr>
      </w:pPr>
      <w:r w:rsidRPr="008B7DA2">
        <w:rPr>
          <w:rFonts w:ascii="Proxima Nova Rg" w:hAnsi="Proxima Nova Rg" w:cs="TimesNewRomanPS-BoldMT"/>
          <w:b/>
          <w:bCs/>
          <w:sz w:val="28"/>
          <w:szCs w:val="24"/>
        </w:rPr>
        <w:t>Об утверждении положения о Федерации тенниса</w:t>
      </w:r>
      <w:r w:rsidRPr="008B7DA2">
        <w:rPr>
          <w:rFonts w:ascii="Proxima Nova Rg" w:hAnsi="Proxima Nova Rg" w:cs="TimesNewRomanPS-BoldMT"/>
          <w:b/>
          <w:bCs/>
          <w:sz w:val="28"/>
          <w:szCs w:val="24"/>
        </w:rPr>
        <w:t xml:space="preserve"> </w:t>
      </w:r>
      <w:r w:rsidRPr="008B7DA2">
        <w:rPr>
          <w:rFonts w:ascii="Proxima Nova Rg" w:hAnsi="Proxima Nova Rg" w:cs="TimesNewRomanPS-BoldMT"/>
          <w:b/>
          <w:bCs/>
          <w:sz w:val="28"/>
          <w:szCs w:val="24"/>
        </w:rPr>
        <w:t>России</w:t>
      </w: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Default="008B7DA2" w:rsidP="008B7DA2">
      <w:pPr>
        <w:autoSpaceDE w:val="0"/>
        <w:autoSpaceDN w:val="0"/>
        <w:adjustRightInd w:val="0"/>
        <w:spacing w:after="12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autoSpaceDE w:val="0"/>
        <w:autoSpaceDN w:val="0"/>
        <w:adjustRightInd w:val="0"/>
        <w:spacing w:after="12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>Приказываю:</w:t>
      </w:r>
    </w:p>
    <w:p w:rsidR="008B7DA2" w:rsidRPr="008B7DA2" w:rsidRDefault="008B7DA2" w:rsidP="008B7DA2">
      <w:pPr>
        <w:autoSpaceDE w:val="0"/>
        <w:autoSpaceDN w:val="0"/>
        <w:adjustRightInd w:val="0"/>
        <w:spacing w:after="120" w:line="300" w:lineRule="exact"/>
        <w:rPr>
          <w:rFonts w:ascii="Proxima Nova Rg" w:hAnsi="Proxima Nova Rg" w:cs="TimesNewRomanPSMT"/>
          <w:sz w:val="24"/>
          <w:szCs w:val="24"/>
        </w:rPr>
      </w:pPr>
      <w:r w:rsidRPr="008B7DA2">
        <w:rPr>
          <w:rFonts w:ascii="Proxima Nova Rg" w:hAnsi="Proxima Nova Rg" w:cs="TimesNewRomanPSMT"/>
          <w:sz w:val="24"/>
          <w:szCs w:val="24"/>
        </w:rPr>
        <w:t>1. Утвердить прилагаемое положение о Федерации тенниса России.</w:t>
      </w:r>
    </w:p>
    <w:p w:rsidR="008B7DA2" w:rsidRPr="008B7DA2" w:rsidRDefault="008B7DA2" w:rsidP="008B7DA2">
      <w:pPr>
        <w:autoSpaceDE w:val="0"/>
        <w:autoSpaceDN w:val="0"/>
        <w:adjustRightInd w:val="0"/>
        <w:spacing w:after="120" w:line="300" w:lineRule="exact"/>
        <w:rPr>
          <w:rFonts w:ascii="Proxima Nova Rg" w:hAnsi="Proxima Nova Rg" w:cs="TimesNewRomanPSMT"/>
          <w:sz w:val="24"/>
          <w:szCs w:val="24"/>
        </w:rPr>
      </w:pPr>
      <w:r w:rsidRPr="008B7DA2">
        <w:rPr>
          <w:rFonts w:ascii="Proxima Nova Rg" w:hAnsi="Proxima Nova Rg" w:cs="TimesNewRomanPSMT"/>
          <w:sz w:val="24"/>
          <w:szCs w:val="24"/>
        </w:rPr>
        <w:t>2. Контроль за исполнением настоящего приказа возложить на Генерального</w:t>
      </w:r>
    </w:p>
    <w:p w:rsidR="008B7DA2" w:rsidRPr="008B7DA2" w:rsidRDefault="008B7DA2" w:rsidP="008B7DA2">
      <w:pPr>
        <w:autoSpaceDE w:val="0"/>
        <w:autoSpaceDN w:val="0"/>
        <w:adjustRightInd w:val="0"/>
        <w:spacing w:after="120" w:line="300" w:lineRule="exact"/>
        <w:rPr>
          <w:rFonts w:ascii="Proxima Nova Rg" w:hAnsi="Proxima Nova Rg" w:cs="TimesNewRomanPSMT"/>
          <w:sz w:val="24"/>
          <w:szCs w:val="24"/>
        </w:rPr>
      </w:pPr>
      <w:r w:rsidRPr="008B7DA2">
        <w:rPr>
          <w:rFonts w:ascii="Proxima Nova Rg" w:hAnsi="Proxima Nova Rg" w:cs="TimesNewRomanPSMT"/>
          <w:sz w:val="24"/>
          <w:szCs w:val="24"/>
        </w:rPr>
        <w:t>секретаря</w:t>
      </w:r>
      <w:r w:rsidRPr="008B7DA2">
        <w:rPr>
          <w:rFonts w:ascii="Proxima Nova Rg" w:hAnsi="Proxima Nova Rg" w:cs="Times New Roman"/>
          <w:sz w:val="24"/>
          <w:szCs w:val="24"/>
        </w:rPr>
        <w:t>-</w:t>
      </w:r>
      <w:r w:rsidRPr="008B7DA2">
        <w:rPr>
          <w:rFonts w:ascii="Proxima Nova Rg" w:hAnsi="Proxima Nova Rg" w:cs="TimesNewRomanPSMT"/>
          <w:sz w:val="24"/>
          <w:szCs w:val="24"/>
        </w:rPr>
        <w:t>Вице</w:t>
      </w:r>
      <w:r w:rsidRPr="008B7DA2">
        <w:rPr>
          <w:rFonts w:ascii="Proxima Nova Rg" w:hAnsi="Proxima Nova Rg" w:cs="Times New Roman"/>
          <w:sz w:val="24"/>
          <w:szCs w:val="24"/>
        </w:rPr>
        <w:t>-</w:t>
      </w:r>
      <w:r w:rsidRPr="008B7DA2">
        <w:rPr>
          <w:rFonts w:ascii="Proxima Nova Rg" w:hAnsi="Proxima Nova Rg" w:cs="TimesNewRomanPSMT"/>
          <w:sz w:val="24"/>
          <w:szCs w:val="24"/>
        </w:rPr>
        <w:t xml:space="preserve">президента Федерации тенниса России Я.С. </w:t>
      </w:r>
      <w:proofErr w:type="spellStart"/>
      <w:r w:rsidRPr="008B7DA2">
        <w:rPr>
          <w:rFonts w:ascii="Proxima Nova Rg" w:hAnsi="Proxima Nova Rg" w:cs="TimesNewRomanPSMT"/>
          <w:sz w:val="24"/>
          <w:szCs w:val="24"/>
        </w:rPr>
        <w:t>Шатхина</w:t>
      </w:r>
      <w:proofErr w:type="spellEnd"/>
      <w:r w:rsidRPr="008B7DA2">
        <w:rPr>
          <w:rFonts w:ascii="Proxima Nova Rg" w:hAnsi="Proxima Nova Rg" w:cs="TimesNewRomanPSMT"/>
          <w:sz w:val="24"/>
          <w:szCs w:val="24"/>
        </w:rPr>
        <w:t>.</w:t>
      </w:r>
    </w:p>
    <w:p w:rsidR="008B7DA2" w:rsidRPr="008B7DA2" w:rsidRDefault="008B7DA2" w:rsidP="008B7DA2">
      <w:pPr>
        <w:shd w:val="clear" w:color="auto" w:fill="FFFFFF"/>
        <w:spacing w:after="24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Default="008B7DA2" w:rsidP="008B7DA2">
      <w:pPr>
        <w:shd w:val="clear" w:color="auto" w:fill="FFFFFF"/>
        <w:spacing w:after="24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shd w:val="clear" w:color="auto" w:fill="FFFFFF"/>
        <w:spacing w:after="240" w:line="300" w:lineRule="exact"/>
        <w:rPr>
          <w:rFonts w:ascii="Proxima Nova Rg" w:hAnsi="Proxima Nova Rg" w:cs="TimesNewRomanPS-BoldMT"/>
          <w:b/>
          <w:bCs/>
          <w:sz w:val="24"/>
          <w:szCs w:val="24"/>
        </w:rPr>
      </w:pPr>
    </w:p>
    <w:p w:rsidR="008B7DA2" w:rsidRPr="008B7DA2" w:rsidRDefault="008B7DA2" w:rsidP="008B7DA2">
      <w:pPr>
        <w:shd w:val="clear" w:color="auto" w:fill="FFFFFF"/>
        <w:spacing w:after="240" w:line="300" w:lineRule="exact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 xml:space="preserve">Президент </w:t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ab/>
      </w:r>
      <w:r w:rsidRPr="008B7DA2">
        <w:rPr>
          <w:rFonts w:ascii="Proxima Nova Rg" w:hAnsi="Proxima Nova Rg" w:cs="TimesNewRomanPS-BoldMT"/>
          <w:b/>
          <w:bCs/>
          <w:sz w:val="24"/>
          <w:szCs w:val="24"/>
        </w:rPr>
        <w:t>Ш.А. Тарпищев</w:t>
      </w:r>
    </w:p>
    <w:p w:rsidR="008B7DA2" w:rsidRPr="008B7DA2" w:rsidRDefault="008B7DA2" w:rsidP="008B7DA2">
      <w:pPr>
        <w:spacing w:line="300" w:lineRule="exact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br w:type="page"/>
      </w:r>
    </w:p>
    <w:p w:rsidR="008B7DA2" w:rsidRPr="008B7DA2" w:rsidRDefault="008B7DA2" w:rsidP="008B7DA2">
      <w:pPr>
        <w:shd w:val="clear" w:color="auto" w:fill="FFFFFF"/>
        <w:spacing w:after="120" w:line="300" w:lineRule="exact"/>
        <w:ind w:left="5245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lastRenderedPageBreak/>
        <w:t>УТВЕРЖДЕНО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ind w:left="5245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Приказом Федерации тенниса России от 24 ноября 2009 г. № 9-пл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ПОЛОЖЕНИЕ О ФЕДЕРАЦИИ ТЕННИСА РОССИИ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I. ОБЩИЕ ПОЛОЖЕНИЯ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Default="00D51FB0" w:rsidP="00122707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1. </w:t>
      </w:r>
      <w:r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="008B7DA2"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Федерация тенниса России (далее ФТР, либо Федерация) являются общественной организацией, осуществляющей деятельность в соответствии с законом Российской Федерации № 329-ФЗ по развитию тенниса как вида спорта в Российской Федерации.</w:t>
      </w:r>
    </w:p>
    <w:p w:rsidR="00122707" w:rsidRPr="008B7DA2" w:rsidRDefault="00122707" w:rsidP="00122707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Default="008B7DA2" w:rsidP="00122707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осуществляет координацию и контроль деятельности учрежденных ею организаций.</w:t>
      </w:r>
    </w:p>
    <w:p w:rsidR="00122707" w:rsidRPr="008B7DA2" w:rsidRDefault="00122707" w:rsidP="00122707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Pr="008B7DA2" w:rsidRDefault="008B7DA2" w:rsidP="00122707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осуществляет свою деятельность во взаимодействии с Федеральными органами исполнительной власти в области физической культуры и спорта,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II. ПОЛНОМОЧИЯ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4.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Федерация тенниса России осуществляет следующие полномочия:</w:t>
      </w:r>
    </w:p>
    <w:p w:rsid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4.1.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вносит в </w:t>
      </w:r>
      <w:proofErr w:type="spellStart"/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Минспорттуризм</w:t>
      </w:r>
      <w:proofErr w:type="spellEnd"/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 России проекты нормативно-правовых актов и других документов, по которым требуется решение Правительства Российской Федерации.</w:t>
      </w:r>
    </w:p>
    <w:p w:rsidR="00122707" w:rsidRPr="008B7DA2" w:rsidRDefault="00122707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5.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На основании конституции Российской Федерации и Федеральных законов самостоятельно принимает следующие решения: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5.1.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порядок разработки и представления программ развития тенниса в Российской Федерации;</w:t>
      </w:r>
    </w:p>
    <w:p w:rsid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5.2.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общие требования к содержанию положений (регламентов) о всероссийских официальных мероприятиях и соревнованиях по теннису.</w:t>
      </w:r>
    </w:p>
    <w:p w:rsidR="00122707" w:rsidRPr="008B7DA2" w:rsidRDefault="00122707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lastRenderedPageBreak/>
        <w:t xml:space="preserve">6.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вносит предложения по виду спорта теннис в: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Единую всероссийскую спортивную классификацию;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Положение о спортивных судьях;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типовые учебно-тренировочные программы подготовки спортсменов-теннисистов;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6.4.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общие принципы, критерии формирования и порядок утверждения в сборных командах России по теннису;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6.5.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деятельность региональных Федераций по реализации направления развития тенниса в России;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6.6.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подготовку решения о проведении на территории Российской Федерации международных соревнований по теннису;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6.7.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определение основных направлений пропаганды развития тенниса в Российской Федерации;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6.8.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организацию конференций, семинаров и других мероприятий в сфере деятельности ФТР.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7.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осуществляет: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7.1.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функции главного распорядителя и получателя средств, предусмотренных на содержание ФТР и реализацию функций, возложенных на федерацию;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7.2.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прием граждан, своевременное и полное рассмотрение устных и письменных обращений граждан;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7.3.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профессиональную подготовку работников ФТР, их переподготовку, повышение квалификации и стажировку;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7.4.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взаимодействие с органами развития тенниса иностранных государств и международными организациями в сфере деятельности ФТР.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8.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Федерация тенниса России в целях реализации полномочий в доверенной сфере деятельности имеет право: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8.1.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запрашивать и получать в установленном порядке сведения, необходимые для принятия решений по отнесенным к компетенции ФТР вопросам;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8.2.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утверждать знаки, поощрительные документы и награды в установленной сфере деятельности ФТР и награждать ими граждан;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8.3.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создавать совещательные органы (Советы, комиссии, группы) в установленной сфере деятельности Федерации;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8.4.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учреждать печатные средства массовой информации для размещения материалов, относящихся к компетенции ФТР.</w:t>
      </w:r>
    </w:p>
    <w:p w:rsid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D51FB0" w:rsidRDefault="00D51FB0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D51FB0" w:rsidRPr="008B7DA2" w:rsidRDefault="00D51FB0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bookmarkStart w:id="0" w:name="_GoBack"/>
      <w:bookmarkEnd w:id="0"/>
    </w:p>
    <w:p w:rsidR="008B7DA2" w:rsidRPr="008B7DA2" w:rsidRDefault="008B7DA2" w:rsidP="008B7DA2">
      <w:pPr>
        <w:shd w:val="clear" w:color="auto" w:fill="FFFFFF"/>
        <w:spacing w:after="120" w:line="300" w:lineRule="exact"/>
        <w:ind w:left="360" w:firstLine="348"/>
        <w:jc w:val="center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lastRenderedPageBreak/>
        <w:t> III. ОРГАНИЗАЦИЯ ДЕЯТЕЛЬНОСТИ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ind w:left="360" w:firstLine="348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9.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возглавляет Президент, избираемый на должность отчетно-выборной конференцией ООО «Федерация тенниса России»: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9.1.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Президент ФТР несет персональную ответственность за выполнение задач, возложенных на ФТР и реализацию политики государства в области развития тенниса;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9.2.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имеет пять Вице-президентов, Почетного Президента, Генерального секретаря-Вице-президента, избираемых отчетно-выборной конференцией ООО «Федерация тенниса России», а также Правление Федерации;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9.3.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структурными подразделениями федерации являются отделы по основным видам деятельности ФТР.</w:t>
      </w:r>
    </w:p>
    <w:p w:rsidR="008B7DA2" w:rsidRPr="008B7DA2" w:rsidRDefault="008B7DA2" w:rsidP="008B7DA2">
      <w:pPr>
        <w:shd w:val="clear" w:color="auto" w:fill="FFFFFF"/>
        <w:spacing w:after="120" w:line="300" w:lineRule="exact"/>
        <w:ind w:left="360" w:firstLine="348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 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Президент ФТР: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распределяет обязанности между Вице-президентами, Генеральным секретарем и начальниками отделов Приказом по ФТР;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утверждает должностные инструкции руководящих работников ФТР;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назначает на должность и освобождает от должности всех работников Федерации;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10.4.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утверждает структуру и штатное расписание ФТР;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10.5.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утверждает ежегодный план работы ФТР и отчеты структурных подразделений;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70" w:hanging="570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10.6.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от лица Федерации вносит в </w:t>
      </w:r>
      <w:proofErr w:type="spellStart"/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Минспорттуризм</w:t>
      </w:r>
      <w:proofErr w:type="spellEnd"/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 России предложения по формированию календаря международных и российских соревнований по теннису на следующий год;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10.7.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представляет в установленном порядке работников ФТР и других лиц, осуществляющих деятельность в установленной сфере ведения к присвоению почетных званий и награждению государственными наградами Российской Федерации;</w:t>
      </w:r>
    </w:p>
    <w:p w:rsid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10.8.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издает приказы, имеющие нормативный характер, а по оперативным и другим текущим вопросам организации деятельности Федерации – приказы ненормативного характера.</w:t>
      </w:r>
    </w:p>
    <w:p w:rsidR="00122707" w:rsidRPr="008B7DA2" w:rsidRDefault="00122707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Финансирование расходов на деятельность ФТР осуществляется из средств Государственного бюджета, спонсорских средств, средств коммерческой деятельности, пожертвований, целевых взносов, субсидий.</w:t>
      </w:r>
    </w:p>
    <w:p w:rsidR="00122707" w:rsidRPr="008B7DA2" w:rsidRDefault="00122707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ФТР является юридическим лицом, имеет печать со своим наименованием, иные печати, штампы и бланки, а также счета, открываемые в соответствии с законодательством Российской Федерации.</w:t>
      </w:r>
    </w:p>
    <w:p w:rsidR="00122707" w:rsidRPr="008B7DA2" w:rsidRDefault="00122707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</w:p>
    <w:p w:rsidR="008B7DA2" w:rsidRPr="008B7DA2" w:rsidRDefault="008B7DA2" w:rsidP="008B7DA2">
      <w:pPr>
        <w:shd w:val="clear" w:color="auto" w:fill="FFFFFF"/>
        <w:spacing w:after="120" w:line="300" w:lineRule="exact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lastRenderedPageBreak/>
        <w:t>13. Утверждение должностных обязанностей и полномочий сотрудников ФТР: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13.1.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Полномочия Вице-президентов ФТР определяются их должностной инструкцией, утвержденной Президентом ФТР на основании Приказа о Распределении обязанностей;</w:t>
      </w:r>
    </w:p>
    <w:p w:rsidR="008B7DA2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13.2.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Обязанности и полномочия других руководящих должностных лиц ФТР, так же определяются должностной инструкцией, утвержденной Президентом ФТР;</w:t>
      </w:r>
    </w:p>
    <w:p w:rsidR="00985259" w:rsidRPr="008B7DA2" w:rsidRDefault="008B7DA2" w:rsidP="00D51FB0">
      <w:pPr>
        <w:shd w:val="clear" w:color="auto" w:fill="FFFFFF"/>
        <w:spacing w:after="120" w:line="300" w:lineRule="exact"/>
        <w:ind w:left="567" w:hanging="567"/>
        <w:jc w:val="both"/>
        <w:rPr>
          <w:rFonts w:ascii="Proxima Nova Rg" w:eastAsia="Times New Roman" w:hAnsi="Proxima Nova Rg" w:cs="Tahoma"/>
          <w:sz w:val="24"/>
          <w:szCs w:val="24"/>
          <w:lang w:eastAsia="ru-RU"/>
        </w:rPr>
      </w:pP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 xml:space="preserve">13.3. </w:t>
      </w:r>
      <w:r w:rsidR="00D51FB0">
        <w:rPr>
          <w:rFonts w:ascii="Proxima Nova Rg" w:eastAsia="Times New Roman" w:hAnsi="Proxima Nova Rg" w:cs="Tahoma"/>
          <w:sz w:val="24"/>
          <w:szCs w:val="24"/>
          <w:lang w:eastAsia="ru-RU"/>
        </w:rPr>
        <w:tab/>
      </w:r>
      <w:r w:rsidRPr="008B7DA2">
        <w:rPr>
          <w:rFonts w:ascii="Proxima Nova Rg" w:eastAsia="Times New Roman" w:hAnsi="Proxima Nova Rg" w:cs="Tahoma"/>
          <w:sz w:val="24"/>
          <w:szCs w:val="24"/>
          <w:lang w:eastAsia="ru-RU"/>
        </w:rPr>
        <w:t>Должностные инструкции рядовых сотрудников ФТР утверждают Вице-президенты ФТР по направлениям деятельности, утвержденным Приказом Президента ФТР.</w:t>
      </w:r>
    </w:p>
    <w:sectPr w:rsidR="00985259" w:rsidRPr="008B7DA2" w:rsidSect="008B7D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C"/>
    <w:rsid w:val="00122707"/>
    <w:rsid w:val="008B7DA2"/>
    <w:rsid w:val="00985259"/>
    <w:rsid w:val="00CB7F9C"/>
    <w:rsid w:val="00D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29476-40A8-4F83-8801-A3E91E05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D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Евгения</dc:creator>
  <cp:keywords/>
  <dc:description/>
  <cp:lastModifiedBy>Седельникова Евгения</cp:lastModifiedBy>
  <cp:revision>2</cp:revision>
  <dcterms:created xsi:type="dcterms:W3CDTF">2020-03-17T10:38:00Z</dcterms:created>
  <dcterms:modified xsi:type="dcterms:W3CDTF">2020-03-17T11:37:00Z</dcterms:modified>
</cp:coreProperties>
</file>